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A7">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bCs w:val="0"/>
          <w:color w:val="auto"/>
          <w:kern w:val="0"/>
          <w:sz w:val="28"/>
          <w:szCs w:val="28"/>
          <w:lang w:val="en-US" w:eastAsia="zh-CN"/>
        </w:rPr>
      </w:pPr>
      <w:r>
        <w:rPr>
          <w:rFonts w:hint="eastAsia" w:ascii="黑体" w:hAnsi="黑体" w:eastAsia="黑体" w:cs="黑体"/>
          <w:b/>
          <w:bCs w:val="0"/>
          <w:color w:val="auto"/>
          <w:kern w:val="0"/>
          <w:sz w:val="28"/>
          <w:szCs w:val="28"/>
          <w:lang w:val="en-US" w:eastAsia="zh-CN"/>
        </w:rPr>
        <w:t xml:space="preserve">附件1 </w:t>
      </w:r>
    </w:p>
    <w:p w14:paraId="306AAC05">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黑体" w:hAnsi="黑体" w:eastAsia="黑体" w:cs="黑体"/>
          <w:b/>
          <w:bCs/>
          <w:color w:val="000000"/>
          <w:kern w:val="0"/>
          <w:sz w:val="40"/>
          <w:szCs w:val="40"/>
          <w:lang w:val="en-US" w:eastAsia="zh-CN" w:bidi="ar"/>
        </w:rPr>
      </w:pPr>
      <w:r>
        <w:rPr>
          <w:rFonts w:hint="eastAsia" w:ascii="方正小标宋简体" w:hAnsi="Times New Roman" w:eastAsia="方正小标宋简体" w:cs="方正小标宋简体"/>
          <w:sz w:val="40"/>
          <w:szCs w:val="40"/>
          <w:lang w:val="en-US" w:eastAsia="zh-CN"/>
        </w:rPr>
        <w:t>2026年“挑战杯”校内选拔赛作品参赛指南</w:t>
      </w:r>
    </w:p>
    <w:p w14:paraId="19F86FF0">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p>
    <w:p w14:paraId="5F0BEDE1">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default"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一、参赛范围及形式</w:t>
      </w:r>
    </w:p>
    <w:p w14:paraId="52352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Calibri" w:hAnsi="Calibri" w:eastAsia="仿宋_GB2312" w:cs="Calibri"/>
          <w:i w:val="0"/>
          <w:iCs w:val="0"/>
          <w:caps w:val="0"/>
          <w:color w:val="000000"/>
          <w:spacing w:val="0"/>
          <w:sz w:val="28"/>
          <w:szCs w:val="28"/>
          <w:lang w:val="en-US" w:eastAsia="zh-CN"/>
        </w:rPr>
      </w:pPr>
      <w:r>
        <w:rPr>
          <w:rFonts w:ascii="仿宋_GB2312" w:hAnsi="Calibri" w:eastAsia="仿宋_GB2312" w:cs="仿宋_GB2312"/>
          <w:i w:val="0"/>
          <w:iCs w:val="0"/>
          <w:caps w:val="0"/>
          <w:color w:val="000000"/>
          <w:spacing w:val="0"/>
          <w:kern w:val="0"/>
          <w:sz w:val="28"/>
          <w:szCs w:val="28"/>
          <w:shd w:val="clear" w:fill="FFFFFF"/>
          <w:lang w:val="en-US" w:eastAsia="zh-CN" w:bidi="ar"/>
        </w:rPr>
        <w:t>1．凡在20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26年6月1日以前正式注册的全日制非成人教育的各类高等院校在校本科生、硕士研究生（均不含在职研究生）均可参赛。硕博连读生、直接攻读博士生若在</w:t>
      </w:r>
      <w:r>
        <w:rPr>
          <w:rFonts w:ascii="仿宋_GB2312" w:hAnsi="Calibri" w:eastAsia="仿宋_GB2312" w:cs="仿宋_GB2312"/>
          <w:i w:val="0"/>
          <w:iCs w:val="0"/>
          <w:caps w:val="0"/>
          <w:color w:val="000000"/>
          <w:spacing w:val="0"/>
          <w:kern w:val="0"/>
          <w:sz w:val="28"/>
          <w:szCs w:val="28"/>
          <w:shd w:val="clear" w:fill="FFFFFF"/>
          <w:lang w:val="en-US" w:eastAsia="zh-CN" w:bidi="ar"/>
        </w:rPr>
        <w:t>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26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14:paraId="79FF3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2．以</w:t>
      </w:r>
      <w:r>
        <w:rPr>
          <w:rFonts w:hint="eastAsia" w:ascii="仿宋_GB2312" w:hAnsi="Calibri" w:eastAsia="仿宋_GB2312" w:cs="仿宋_GB2312"/>
          <w:i w:val="0"/>
          <w:iCs w:val="0"/>
          <w:caps w:val="0"/>
          <w:color w:val="000000"/>
          <w:spacing w:val="-12"/>
          <w:kern w:val="0"/>
          <w:sz w:val="28"/>
          <w:szCs w:val="28"/>
          <w:shd w:val="clear" w:fill="FFFFFF"/>
          <w:lang w:val="en-US" w:eastAsia="zh-CN" w:bidi="ar"/>
        </w:rPr>
        <w:t>学院</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为单位统一申报，以团队形式参赛，</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每个项目团队人数不超过10人，指导教师人数不超过3人。</w:t>
      </w:r>
    </w:p>
    <w:p w14:paraId="6CCDE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黑体" w:hAnsi="黑体" w:eastAsia="黑体" w:cs="黑体"/>
          <w:b/>
          <w:bCs/>
          <w:color w:val="000000"/>
          <w:kern w:val="0"/>
          <w:sz w:val="28"/>
          <w:szCs w:val="28"/>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3．对于跨校组队参赛的项目，各成员须事先协商明确唯一的项目申报单位。</w:t>
      </w:r>
    </w:p>
    <w:p w14:paraId="6162BC57">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theme="minorEastAsia"/>
          <w:b/>
          <w:sz w:val="28"/>
          <w:szCs w:val="28"/>
          <w:lang w:eastAsia="zh-CN"/>
        </w:rPr>
      </w:pPr>
      <w:r>
        <w:rPr>
          <w:rFonts w:hint="eastAsia" w:ascii="黑体" w:hAnsi="黑体" w:eastAsia="黑体" w:cs="黑体"/>
          <w:b/>
          <w:bCs/>
          <w:color w:val="000000"/>
          <w:kern w:val="0"/>
          <w:sz w:val="28"/>
          <w:szCs w:val="28"/>
          <w:lang w:val="en-US" w:eastAsia="zh-CN" w:bidi="ar"/>
        </w:rPr>
        <w:t>二、参赛组别、类别</w:t>
      </w:r>
    </w:p>
    <w:p w14:paraId="4A8008BA">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rPr>
        <w:t>暂按照上一届国赛要求，聚焦创新、协调、绿色、开放、共享五大发展理念，设</w:t>
      </w:r>
      <w:r>
        <w:rPr>
          <w:rFonts w:hint="eastAsia" w:ascii="仿宋" w:hAnsi="仿宋" w:eastAsia="仿宋" w:cstheme="minorEastAsia"/>
          <w:b w:val="0"/>
          <w:bCs/>
          <w:sz w:val="28"/>
          <w:szCs w:val="28"/>
          <w:lang w:eastAsia="zh-CN"/>
        </w:rPr>
        <w:t>五个项目类别方向</w:t>
      </w:r>
      <w:r>
        <w:rPr>
          <w:rFonts w:hint="eastAsia" w:ascii="仿宋" w:hAnsi="仿宋" w:eastAsia="仿宋" w:cstheme="minorEastAsia"/>
          <w:b w:val="0"/>
          <w:bCs/>
          <w:sz w:val="28"/>
          <w:szCs w:val="28"/>
        </w:rPr>
        <w:t>。</w:t>
      </w:r>
      <w:r>
        <w:rPr>
          <w:rFonts w:hint="eastAsia" w:ascii="仿宋" w:hAnsi="仿宋" w:eastAsia="仿宋" w:cstheme="minorEastAsia"/>
          <w:b/>
          <w:bCs w:val="0"/>
          <w:sz w:val="28"/>
          <w:szCs w:val="28"/>
          <w:lang w:eastAsia="zh-CN"/>
        </w:rPr>
        <w:t>省赛、国赛</w:t>
      </w:r>
      <w:r>
        <w:rPr>
          <w:rFonts w:hint="eastAsia" w:ascii="仿宋" w:hAnsi="仿宋" w:eastAsia="仿宋" w:cstheme="minorEastAsia"/>
          <w:b/>
          <w:bCs w:val="0"/>
          <w:sz w:val="28"/>
          <w:szCs w:val="28"/>
        </w:rPr>
        <w:t>赛</w:t>
      </w:r>
      <w:r>
        <w:rPr>
          <w:rFonts w:hint="eastAsia" w:ascii="仿宋" w:hAnsi="仿宋" w:eastAsia="仿宋" w:cstheme="minorEastAsia"/>
          <w:b/>
          <w:bCs w:val="0"/>
          <w:sz w:val="28"/>
          <w:szCs w:val="28"/>
          <w:lang w:eastAsia="zh-CN"/>
        </w:rPr>
        <w:t>组别</w:t>
      </w:r>
      <w:r>
        <w:rPr>
          <w:rFonts w:hint="eastAsia" w:ascii="仿宋" w:hAnsi="仿宋" w:eastAsia="仿宋" w:cstheme="minorEastAsia"/>
          <w:b/>
          <w:bCs w:val="0"/>
          <w:sz w:val="28"/>
          <w:szCs w:val="28"/>
        </w:rPr>
        <w:t>类别若有变化，另行通知。如有其它专项赛事另行通知。</w:t>
      </w:r>
    </w:p>
    <w:p w14:paraId="1E4A032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lang w:val="en-US" w:eastAsia="zh-CN"/>
        </w:rPr>
        <w:t>一</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科技创新和未来产业:围绕创新驱动发展战略，推动数字经济健康发展，在量子技术、元宇宙、智能制造、信息技术、大数据、人工智能、生命科学、新材料、军民融合等领域，结合实践观察设计项目。</w:t>
      </w:r>
    </w:p>
    <w:p w14:paraId="056A2A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rPr>
        <w:t>(二)乡村振兴和农业农村现代化:围绕乡村振兴战略，在农林牧渔、电子商务、乡村旅游等领域，结合实践观察设计项目</w:t>
      </w:r>
      <w:r>
        <w:rPr>
          <w:rFonts w:hint="eastAsia" w:ascii="仿宋" w:hAnsi="仿宋" w:eastAsia="仿宋" w:cstheme="minorEastAsia"/>
          <w:b w:val="0"/>
          <w:bCs/>
          <w:sz w:val="28"/>
          <w:szCs w:val="28"/>
          <w:lang w:eastAsia="zh-CN"/>
        </w:rPr>
        <w:t>。</w:t>
      </w:r>
    </w:p>
    <w:p w14:paraId="082EFFE2">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(三)生态文明建设和绿色低碳发展:围绕绿色低碳发展和碳达峰碳中和目标，在绿色低碳产业、绿色消费、环境治理可持续资源开发、生态环保、清洁能源应用等领域，结合实践观察设计项目。</w:t>
      </w:r>
    </w:p>
    <w:p w14:paraId="209B0BE1">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四)文化创意和区域交流合作:突出共融、共享，紧密围绕“一带一路”和京津冀、长三角、粤港澳大湾区以及成渝地区双城经济圈、长江经济带和黄河流域等区域合作，或在工业设计、动漫广告、体育竞技和国际文化传播、对外交流培训对外经贸等领域，结合实践观察设计项目。</w:t>
      </w:r>
    </w:p>
    <w:p w14:paraId="0BF3E1D0">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仿宋" w:hAnsi="仿宋" w:eastAsia="仿宋" w:cstheme="minorEastAsia"/>
          <w:b w:val="0"/>
          <w:bCs/>
          <w:sz w:val="28"/>
          <w:szCs w:val="28"/>
        </w:rPr>
        <w:t>(五)社会治理和公共服务:围绕国家治理体系和治理能力现代化建设，在政务服务、消费生活、公共卫生与医疗服务金融与财经法务、教育培训、交通物流、人力资源、城乡融合等领域，结合实践观察设计项目。</w:t>
      </w:r>
    </w:p>
    <w:p w14:paraId="393E980E">
      <w:pPr>
        <w:keepNext w:val="0"/>
        <w:keepLines w:val="0"/>
        <w:pageBreakBefore w:val="0"/>
        <w:numPr>
          <w:ilvl w:val="-1"/>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三、项目材料说明</w:t>
      </w:r>
    </w:p>
    <w:p w14:paraId="3A0078F5">
      <w:pPr>
        <w:pStyle w:val="2"/>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hint="eastAsia"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参赛项目按要求提交参赛作品材料，应包括：</w:t>
      </w:r>
    </w:p>
    <w:p w14:paraId="3CB49D1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（1）《2026年“挑战杯”校内选拔赛项目申报表》word和PDF文档；</w:t>
      </w:r>
    </w:p>
    <w:p w14:paraId="076A9C46">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（2）20页PPT项目介绍材料；</w:t>
      </w:r>
    </w:p>
    <w:p w14:paraId="7AA6BA4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（3）项目详细介绍材料；</w:t>
      </w:r>
    </w:p>
    <w:p w14:paraId="32B2BC33">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（4）相关佐证材料；</w:t>
      </w:r>
    </w:p>
    <w:p w14:paraId="5381E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（5）如有，可提供项目介绍视频，大小限制在100M内且仅支持MP4格式。</w:t>
      </w:r>
    </w:p>
    <w:p w14:paraId="3C1E25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具体说明如下：</w:t>
      </w:r>
    </w:p>
    <w:p w14:paraId="3A084DDE">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20页PPT项目介绍材料：</w:t>
      </w:r>
      <w:r>
        <w:rPr>
          <w:rFonts w:hint="eastAsia" w:ascii="仿宋" w:hAnsi="仿宋" w:eastAsia="仿宋" w:cstheme="minorEastAsia"/>
          <w:b w:val="0"/>
          <w:bCs/>
          <w:sz w:val="28"/>
          <w:szCs w:val="28"/>
          <w:lang w:val="en-US" w:eastAsia="zh-CN"/>
        </w:rPr>
        <w:t>不能完全当作传统意义上的PPT来准备，准确理解是一份独立的简版的一目了然的完整材料，在没有任何演讲的情况下也能让人完全了解项目。</w:t>
      </w:r>
    </w:p>
    <w:p w14:paraId="656B1A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kern w:val="2"/>
          <w:sz w:val="28"/>
          <w:szCs w:val="28"/>
          <w:lang w:val="en-US" w:eastAsia="zh-CN" w:bidi="ar-SA"/>
        </w:rPr>
        <w:t>项目详细介绍材料</w:t>
      </w:r>
      <w:r>
        <w:rPr>
          <w:rFonts w:hint="eastAsia" w:ascii="仿宋" w:hAnsi="仿宋" w:eastAsia="仿宋" w:cstheme="minorEastAsia"/>
          <w:b/>
          <w:bCs w:val="0"/>
          <w:sz w:val="28"/>
          <w:szCs w:val="28"/>
          <w:lang w:val="en-US" w:eastAsia="zh-CN"/>
        </w:rPr>
        <w:t>：</w:t>
      </w:r>
      <w:r>
        <w:rPr>
          <w:rFonts w:hint="eastAsia" w:ascii="仿宋" w:hAnsi="仿宋" w:eastAsia="仿宋" w:cstheme="minorEastAsia"/>
          <w:b w:val="0"/>
          <w:bCs/>
          <w:sz w:val="28"/>
          <w:szCs w:val="28"/>
          <w:lang w:val="en-US" w:eastAsia="zh-CN"/>
        </w:rPr>
        <w:t>不要把它当作20页PPT的补充，而是作为一份完全独立的材料来准备。可以把详细介绍材料理解成为原来传统意义上的结构完整、内容详细的创业计划书，在创业计划书传统基础上还要另外包含</w:t>
      </w:r>
      <w:r>
        <w:rPr>
          <w:rFonts w:hint="eastAsia" w:ascii="仿宋" w:hAnsi="仿宋" w:eastAsia="仿宋" w:cstheme="minorEastAsia"/>
          <w:b/>
          <w:bCs w:val="0"/>
          <w:sz w:val="28"/>
          <w:szCs w:val="28"/>
          <w:lang w:val="en-US" w:eastAsia="zh-CN"/>
        </w:rPr>
        <w:t>实践过程、社会价值</w:t>
      </w:r>
      <w:r>
        <w:rPr>
          <w:rFonts w:hint="eastAsia" w:ascii="仿宋" w:hAnsi="仿宋" w:eastAsia="仿宋" w:cstheme="minorEastAsia"/>
          <w:b w:val="0"/>
          <w:bCs/>
          <w:sz w:val="28"/>
          <w:szCs w:val="28"/>
          <w:lang w:val="en-US" w:eastAsia="zh-CN"/>
        </w:rPr>
        <w:t>等内容。</w:t>
      </w:r>
      <w:r>
        <w:rPr>
          <w:rFonts w:hint="eastAsia" w:ascii="仿宋" w:hAnsi="仿宋" w:eastAsia="仿宋" w:cstheme="minorEastAsia"/>
          <w:b w:val="0"/>
          <w:bCs w:val="0"/>
          <w:sz w:val="28"/>
          <w:szCs w:val="28"/>
          <w:lang w:eastAsia="zh-CN"/>
        </w:rPr>
        <w:t>作品介绍</w:t>
      </w:r>
      <w:r>
        <w:rPr>
          <w:rFonts w:hint="eastAsia" w:ascii="仿宋" w:hAnsi="仿宋" w:eastAsia="仿宋" w:cstheme="minorEastAsia"/>
          <w:b/>
          <w:bCs/>
          <w:sz w:val="28"/>
          <w:szCs w:val="28"/>
          <w:lang w:eastAsia="zh-CN"/>
        </w:rPr>
        <w:t>包括但不限于项目简介、独特优势、社会问题和市场痛点、技术研发、创新性、市场运作、团队介绍、实践过程、社会价值等方面。</w:t>
      </w:r>
      <w:r>
        <w:rPr>
          <w:rFonts w:hint="eastAsia" w:ascii="仿宋" w:hAnsi="仿宋" w:eastAsia="仿宋" w:cstheme="minorEastAsia"/>
          <w:b/>
          <w:bCs/>
          <w:sz w:val="28"/>
          <w:szCs w:val="28"/>
          <w:lang w:val="en-US" w:eastAsia="zh-CN"/>
        </w:rPr>
        <w:t>原则上内容不超过30页。</w:t>
      </w:r>
    </w:p>
    <w:p w14:paraId="1ECCB4E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相关佐证材料：</w:t>
      </w:r>
      <w:r>
        <w:rPr>
          <w:rFonts w:hint="eastAsia" w:ascii="仿宋" w:hAnsi="仿宋" w:eastAsia="仿宋" w:cstheme="minorEastAsia"/>
          <w:b w:val="0"/>
          <w:bCs/>
          <w:sz w:val="28"/>
          <w:szCs w:val="28"/>
          <w:lang w:val="en-US" w:eastAsia="zh-CN"/>
        </w:rPr>
        <w:t>涉及出现参赛成员名字的材料（如营业执照、专利、软著、论文等），</w:t>
      </w:r>
      <w:r>
        <w:rPr>
          <w:rFonts w:hint="eastAsia" w:ascii="仿宋" w:hAnsi="仿宋" w:eastAsia="仿宋" w:cstheme="minorEastAsia"/>
          <w:b/>
          <w:bCs w:val="0"/>
          <w:sz w:val="28"/>
          <w:szCs w:val="28"/>
          <w:lang w:val="en-US" w:eastAsia="zh-CN"/>
        </w:rPr>
        <w:t>要在参赛成员名字下做下划线标记</w:t>
      </w:r>
      <w:r>
        <w:rPr>
          <w:rFonts w:hint="eastAsia" w:ascii="仿宋" w:hAnsi="仿宋" w:eastAsia="仿宋" w:cstheme="minorEastAsia"/>
          <w:b w:val="0"/>
          <w:bCs/>
          <w:sz w:val="28"/>
          <w:szCs w:val="28"/>
          <w:lang w:val="en-US" w:eastAsia="zh-CN"/>
        </w:rPr>
        <w:t>；涉及出现甲乙双方的材料（如合同协议、用户报告、检测报告等），双方单位要清晰可见。</w:t>
      </w:r>
    </w:p>
    <w:p w14:paraId="73B8063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四、注意事项</w:t>
      </w:r>
      <w:bookmarkStart w:id="0" w:name="_GoBack"/>
      <w:bookmarkEnd w:id="0"/>
    </w:p>
    <w:p w14:paraId="06B56AF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lang w:val="en-US" w:eastAsia="zh-CN"/>
        </w:rPr>
        <w:t>1.</w:t>
      </w:r>
      <w:r>
        <w:rPr>
          <w:rFonts w:hint="eastAsia" w:ascii="仿宋" w:hAnsi="仿宋" w:eastAsia="仿宋" w:cstheme="minorEastAsia"/>
          <w:b/>
          <w:bCs w:val="0"/>
          <w:color w:val="auto"/>
          <w:sz w:val="28"/>
          <w:szCs w:val="28"/>
          <w:lang w:val="en-US" w:eastAsia="zh-CN"/>
        </w:rPr>
        <w:t>每个项目只可选择参加1个类别方向</w:t>
      </w:r>
      <w:r>
        <w:rPr>
          <w:rFonts w:hint="eastAsia" w:ascii="仿宋" w:hAnsi="仿宋" w:eastAsia="仿宋" w:cstheme="minorEastAsia"/>
          <w:b w:val="0"/>
          <w:bCs/>
          <w:color w:val="auto"/>
          <w:sz w:val="28"/>
          <w:szCs w:val="28"/>
          <w:lang w:val="en-US" w:eastAsia="zh-CN"/>
        </w:rPr>
        <w:t>，不得兼报，申报截止后，原则上不可进行项目类别调整。</w:t>
      </w:r>
    </w:p>
    <w:p w14:paraId="04389D9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2.以学院为单位以项目团队形式统一申报（不接受个人提交）。</w:t>
      </w:r>
    </w:p>
    <w:p w14:paraId="1C32BF3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highlight w:val="none"/>
          <w:lang w:val="en-US" w:eastAsia="zh-CN"/>
        </w:rPr>
        <w:t>3.</w:t>
      </w:r>
      <w:r>
        <w:rPr>
          <w:rFonts w:hint="eastAsia" w:ascii="仿宋" w:hAnsi="仿宋" w:eastAsia="仿宋" w:cstheme="minorEastAsia"/>
          <w:b w:val="0"/>
          <w:bCs/>
          <w:color w:val="auto"/>
          <w:sz w:val="28"/>
          <w:szCs w:val="28"/>
          <w:lang w:val="en-US" w:eastAsia="zh-CN"/>
        </w:rPr>
        <w:t>参赛项目应有较高立意，积极践行社会主义核心价值观。应符合国家相关法律法规规定、政策导向，禁止剽窃、盗用、提供虚假材料等。</w:t>
      </w:r>
    </w:p>
    <w:p w14:paraId="36572E7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4.</w:t>
      </w:r>
      <w:r>
        <w:rPr>
          <w:rFonts w:hint="eastAsia" w:ascii="仿宋" w:hAnsi="仿宋" w:eastAsia="仿宋" w:cstheme="minorEastAsia"/>
          <w:b w:val="0"/>
          <w:bCs/>
          <w:sz w:val="28"/>
          <w:szCs w:val="28"/>
          <w:lang w:eastAsia="zh-CN"/>
        </w:rPr>
        <w:t>参赛项目涉及知识产权的，须提交具有法律效力的发明创造或专利技术所有人的书面授权许可复印件、项目鉴定证书复印件、专利证书复印件等。参赛项目涉及动植物新品种的发现或培育、国家保护动植物的研究、新药物等的研究时，申报者可根据实际情况提供有关证明材料复印件。参赛项目可提供项目实践成效、预期成效等其他相关材料（包括项目的社会效益、经济效益、带动就业情况等）。对于已完成工商注册的项目，在报名时可提交相关证明材料（含单位概况、法定代表人情况、营业执照复印件、股权结构等材料）。</w:t>
      </w:r>
      <w:r>
        <w:rPr>
          <w:rFonts w:hint="eastAsia" w:ascii="仿宋" w:hAnsi="仿宋" w:eastAsia="仿宋" w:cstheme="minorEastAsia"/>
          <w:b/>
          <w:bCs w:val="0"/>
          <w:sz w:val="28"/>
          <w:szCs w:val="28"/>
          <w:lang w:eastAsia="zh-CN"/>
        </w:rPr>
        <w:t>已完成工商注册的项目，参赛团队负责人须为企业法人代表。有需要进行工商注册或变更的项目请尽快操作，企业法人代表在国赛通知发布之日后进行变更的组委会将不予认可。</w:t>
      </w:r>
      <w:r>
        <w:rPr>
          <w:rFonts w:hint="eastAsia" w:ascii="仿宋" w:hAnsi="仿宋" w:eastAsia="仿宋" w:cstheme="minorEastAsia"/>
          <w:b w:val="0"/>
          <w:bCs/>
          <w:sz w:val="28"/>
          <w:szCs w:val="28"/>
          <w:lang w:eastAsia="zh-CN"/>
        </w:rPr>
        <w:t xml:space="preserve"> </w:t>
      </w:r>
    </w:p>
    <w:p w14:paraId="4B8472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lang w:val="en-US" w:eastAsia="zh-CN"/>
        </w:rPr>
        <w:t>5.</w:t>
      </w:r>
      <w:r>
        <w:rPr>
          <w:rFonts w:hint="eastAsia" w:ascii="仿宋" w:hAnsi="仿宋" w:eastAsia="仿宋" w:cstheme="minorEastAsia"/>
          <w:b/>
          <w:bCs w:val="0"/>
          <w:sz w:val="28"/>
          <w:szCs w:val="28"/>
          <w:lang w:eastAsia="zh-CN"/>
        </w:rPr>
        <w:t>赛事评审突出实践导向，在考察项目商业价值的基础上，更加注重考察学生了解社会现状、关注社会民生、解决社会问题的意识、能力和水平。具体包括项目的社会价值、实践过程、创新意义、发展前景和团队协作等方面。</w:t>
      </w:r>
    </w:p>
    <w:p w14:paraId="018BE7C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（1）社会价值：</w:t>
      </w:r>
      <w:r>
        <w:rPr>
          <w:rFonts w:hint="eastAsia" w:ascii="仿宋" w:hAnsi="仿宋" w:eastAsia="仿宋" w:cstheme="minorEastAsia"/>
          <w:b w:val="0"/>
          <w:bCs/>
          <w:sz w:val="28"/>
          <w:szCs w:val="28"/>
          <w:lang w:val="en-US" w:eastAsia="zh-CN"/>
        </w:rPr>
        <w:t>项目结合社会实践、社会观察，履行社会责任的做法与成效。在科技创新、扶贫助困、社会民生、生态环保、交流合作等方面的社会贡献度。未来在持续吸纳、带动就业的能力等。</w:t>
      </w:r>
    </w:p>
    <w:p w14:paraId="2880497D">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（2）实践过程：</w:t>
      </w:r>
      <w:r>
        <w:rPr>
          <w:rFonts w:hint="eastAsia" w:ascii="仿宋" w:hAnsi="仿宋" w:eastAsia="仿宋" w:cstheme="minorEastAsia"/>
          <w:b w:val="0"/>
          <w:bCs/>
          <w:sz w:val="28"/>
          <w:szCs w:val="28"/>
          <w:lang w:val="en-US" w:eastAsia="zh-CN"/>
        </w:rPr>
        <w:t>项目通过深入社会、行业、实验场所、实训基地，开展调查研究、试点运营、试验论证，获得实践成果。项目成果对于了解社会现状、掌握第一手资料、解决社会问题等具有参考价值。</w:t>
      </w:r>
    </w:p>
    <w:p w14:paraId="58EBCF54">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（3）创新意义：</w:t>
      </w:r>
      <w:r>
        <w:rPr>
          <w:rFonts w:hint="eastAsia" w:ascii="仿宋" w:hAnsi="仿宋" w:eastAsia="仿宋" w:cstheme="minorEastAsia"/>
          <w:b w:val="0"/>
          <w:bCs/>
          <w:sz w:val="28"/>
          <w:szCs w:val="28"/>
          <w:lang w:val="en-US" w:eastAsia="zh-CN"/>
        </w:rPr>
        <w:t>项目在科学技术、社会服务形式、商业模式、管理运营、应用场景等方面的创新程度。创新成果对于赋能传统产业、解决社会问题，助力形成新产业、新业态、新模式有积极意义。</w:t>
      </w:r>
    </w:p>
    <w:p w14:paraId="69671B9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（4）发展前景：</w:t>
      </w:r>
      <w:r>
        <w:rPr>
          <w:rFonts w:hint="eastAsia" w:ascii="仿宋" w:hAnsi="仿宋" w:eastAsia="仿宋" w:cstheme="minorEastAsia"/>
          <w:b w:val="0"/>
          <w:bCs/>
          <w:sz w:val="28"/>
          <w:szCs w:val="28"/>
          <w:lang w:val="en-US" w:eastAsia="zh-CN"/>
        </w:rPr>
        <w:t>项目在商业模式、营销策略、财务管理、发展战略等方面设计完整、合理、可行。目标定位、市场分析清晰、有前瞻性。盈利能力推导过程合理，能够实现可持续发展、前景乐观。</w:t>
      </w:r>
    </w:p>
    <w:p w14:paraId="50BF3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（5）团队协作：</w:t>
      </w:r>
      <w:r>
        <w:rPr>
          <w:rFonts w:hint="eastAsia" w:ascii="仿宋" w:hAnsi="仿宋" w:eastAsia="仿宋" w:cstheme="minorEastAsia"/>
          <w:b w:val="0"/>
          <w:bCs/>
          <w:sz w:val="28"/>
          <w:szCs w:val="28"/>
          <w:lang w:val="en-US" w:eastAsia="zh-CN"/>
        </w:rPr>
        <w:t>团队成员了解社会现状、关注社会民生，具备一定解决社会问题的能力和水平。团队成员的专业背景、创业意识、创业素质、价值观念与项目需求相匹配。团队组织架构与分工合理，凝聚力、执行力、整体竞争力强。</w:t>
      </w:r>
    </w:p>
    <w:p w14:paraId="7B936DFB">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五、有关说明</w:t>
      </w:r>
    </w:p>
    <w:p w14:paraId="60A16DA9">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本方案参照《2024年“挑战杯”中国大学生创业计划竞赛章程》制订，若2026年“挑战杯”竞赛章程有最新要求，将另行通知。</w:t>
      </w:r>
    </w:p>
    <w:p w14:paraId="33D1F29F">
      <w:pPr>
        <w:keepNext w:val="0"/>
        <w:keepLines w:val="0"/>
        <w:pageBreakBefore w:val="0"/>
        <w:kinsoku/>
        <w:wordWrap/>
        <w:overflowPunct/>
        <w:topLinePunct w:val="0"/>
        <w:autoSpaceDE/>
        <w:autoSpaceDN/>
        <w:bidi w:val="0"/>
        <w:adjustRightInd w:val="0"/>
        <w:snapToGrid w:val="0"/>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WM5NDE4NWRmNzgxODRhYWMxYjQ4MTA0YzY5Y2EifQ=="/>
  </w:docVars>
  <w:rsids>
    <w:rsidRoot w:val="00000000"/>
    <w:rsid w:val="00391D62"/>
    <w:rsid w:val="05FD1851"/>
    <w:rsid w:val="074D2EA9"/>
    <w:rsid w:val="095E6CA5"/>
    <w:rsid w:val="09D20AAF"/>
    <w:rsid w:val="0A0A4346"/>
    <w:rsid w:val="0DB77CF3"/>
    <w:rsid w:val="0E57377F"/>
    <w:rsid w:val="11633575"/>
    <w:rsid w:val="147B0D2E"/>
    <w:rsid w:val="1A82318C"/>
    <w:rsid w:val="1AA2738A"/>
    <w:rsid w:val="1C053D3A"/>
    <w:rsid w:val="21EF4865"/>
    <w:rsid w:val="244F00B3"/>
    <w:rsid w:val="24D345D7"/>
    <w:rsid w:val="25EE5A8E"/>
    <w:rsid w:val="27546C3A"/>
    <w:rsid w:val="278A310D"/>
    <w:rsid w:val="280A52A3"/>
    <w:rsid w:val="2B27151F"/>
    <w:rsid w:val="32E4458C"/>
    <w:rsid w:val="38673C95"/>
    <w:rsid w:val="38C67189"/>
    <w:rsid w:val="39E15381"/>
    <w:rsid w:val="3B9D5E5A"/>
    <w:rsid w:val="3BE14667"/>
    <w:rsid w:val="3E701D54"/>
    <w:rsid w:val="3FFF10E4"/>
    <w:rsid w:val="428C13F3"/>
    <w:rsid w:val="43174B5D"/>
    <w:rsid w:val="4436535B"/>
    <w:rsid w:val="46D75158"/>
    <w:rsid w:val="48CB5C1D"/>
    <w:rsid w:val="491D5465"/>
    <w:rsid w:val="49A93559"/>
    <w:rsid w:val="49F301B9"/>
    <w:rsid w:val="4D63672B"/>
    <w:rsid w:val="4E351260"/>
    <w:rsid w:val="506643DA"/>
    <w:rsid w:val="50992F99"/>
    <w:rsid w:val="51B4490E"/>
    <w:rsid w:val="521205C0"/>
    <w:rsid w:val="53475085"/>
    <w:rsid w:val="54432CBF"/>
    <w:rsid w:val="562B3F3A"/>
    <w:rsid w:val="567F0E43"/>
    <w:rsid w:val="572428B3"/>
    <w:rsid w:val="5E0B321A"/>
    <w:rsid w:val="5E500F58"/>
    <w:rsid w:val="5E8A56FD"/>
    <w:rsid w:val="5FAB2BF8"/>
    <w:rsid w:val="604A1623"/>
    <w:rsid w:val="620D2908"/>
    <w:rsid w:val="625E13B5"/>
    <w:rsid w:val="641920C5"/>
    <w:rsid w:val="65FC53A9"/>
    <w:rsid w:val="661E1616"/>
    <w:rsid w:val="68796C5E"/>
    <w:rsid w:val="6B0227AC"/>
    <w:rsid w:val="6B371C32"/>
    <w:rsid w:val="6C012EE2"/>
    <w:rsid w:val="6D3B10F7"/>
    <w:rsid w:val="6EB16425"/>
    <w:rsid w:val="73770529"/>
    <w:rsid w:val="757F092D"/>
    <w:rsid w:val="79BA6714"/>
    <w:rsid w:val="7BA63759"/>
    <w:rsid w:val="7E1C3938"/>
    <w:rsid w:val="7ED83497"/>
    <w:rsid w:val="7EF21420"/>
    <w:rsid w:val="7F986823"/>
    <w:rsid w:val="7FB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2392</Words>
  <Characters>2440</Characters>
  <Lines>0</Lines>
  <Paragraphs>0</Paragraphs>
  <TotalTime>4</TotalTime>
  <ScaleCrop>false</ScaleCrop>
  <LinksUpToDate>false</LinksUpToDate>
  <CharactersWithSpaces>2442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2023-09-14T08:15:00Z</dcterms:created>
  <dc:creator>Administrator</dc:creator>
  <cp:lastModifiedBy>陈曾珍</cp:lastModifiedBy>
  <dcterms:modified xsi:type="dcterms:W3CDTF">2025-10-27T01:47:31Z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A614DB3C5D164E8B9A490A4B8284D573_12</vt:lpwstr>
  </property>
  <property fmtid="{D5CDD505-2E9C-101B-9397-08002B2CF9AE}" pid="4" name="KSOTemplateDocerSaveRecord">
    <vt:lpwstr>eyJoZGlkIjoiZjU5NjNmNzdiNGVlYjJhMTRlNTAxMWY5M2FiMTU0N2MiLCJ1c2VySWQiOiIyNTAzOTc3NjgifQ==</vt:lpwstr>
  </property>
</Properties>
</file>